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9FD24" w14:textId="77777777" w:rsidR="00D55967" w:rsidRDefault="008B05B7">
      <w:pPr>
        <w:spacing w:after="100" w:line="240" w:lineRule="auto"/>
        <w:rPr>
          <w:rFonts w:ascii="Times New Roman" w:eastAsia="Times New Roman" w:hAnsi="Times New Roman" w:cs="Times New Roman"/>
          <w:b/>
          <w:sz w:val="36"/>
        </w:rPr>
      </w:pPr>
      <w:r>
        <w:object w:dxaOrig="3982" w:dyaOrig="888" w14:anchorId="5EA64E64">
          <v:rect id="rectole0000000000" o:spid="_x0000_i1025" style="width:199.2pt;height:44.4pt" o:ole="" o:preferrelative="t" stroked="f">
            <v:imagedata r:id="rId5" o:title=""/>
          </v:rect>
          <o:OLEObject Type="Embed" ProgID="StaticMetafile" ShapeID="rectole0000000000" DrawAspect="Content" ObjectID="_1656924358" r:id="rId6"/>
        </w:object>
      </w:r>
    </w:p>
    <w:p w14:paraId="70D1285D" w14:textId="77777777" w:rsidR="00D55967" w:rsidRPr="008B05B7" w:rsidRDefault="008B05B7" w:rsidP="008B05B7">
      <w:pPr>
        <w:pStyle w:val="NoSpacing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05B7">
        <w:rPr>
          <w:rFonts w:ascii="Times New Roman" w:eastAsia="Times New Roman" w:hAnsi="Times New Roman" w:cs="Times New Roman"/>
          <w:b/>
          <w:bCs/>
          <w:sz w:val="28"/>
          <w:szCs w:val="28"/>
        </w:rPr>
        <w:t>Spousal Support</w:t>
      </w:r>
    </w:p>
    <w:p w14:paraId="23067345" w14:textId="77777777" w:rsidR="00D55967" w:rsidRPr="008B05B7" w:rsidRDefault="008B05B7">
      <w:pPr>
        <w:spacing w:before="100" w:after="100" w:line="240" w:lineRule="auto"/>
        <w:rPr>
          <w:rFonts w:ascii="Times New Roman" w:eastAsia="Times New Roman" w:hAnsi="Times New Roman" w:cs="Times New Roman"/>
          <w:i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i/>
          <w:shd w:val="clear" w:color="auto" w:fill="FEFEFE"/>
        </w:rPr>
        <w:t>Virginia Code Title 20:</w:t>
      </w:r>
    </w:p>
    <w:p w14:paraId="4980DEBB" w14:textId="77777777" w:rsidR="00D55967" w:rsidRPr="008B05B7" w:rsidRDefault="008B05B7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i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i/>
          <w:shd w:val="clear" w:color="auto" w:fill="FEFEFE"/>
        </w:rPr>
        <w:t>Section </w:t>
      </w:r>
      <w:hyperlink r:id="rId7">
        <w:r w:rsidRPr="008B05B7">
          <w:rPr>
            <w:rFonts w:ascii="Times New Roman" w:eastAsia="Times New Roman" w:hAnsi="Times New Roman" w:cs="Times New Roman"/>
            <w:i/>
            <w:color w:val="0000FF"/>
            <w:u w:val="single"/>
            <w:shd w:val="clear" w:color="auto" w:fill="FEFEFE"/>
          </w:rPr>
          <w:t>20-107.1</w:t>
        </w:r>
      </w:hyperlink>
      <w:r w:rsidRPr="008B05B7">
        <w:rPr>
          <w:rFonts w:ascii="Times New Roman" w:eastAsia="Times New Roman" w:hAnsi="Times New Roman" w:cs="Times New Roman"/>
          <w:i/>
          <w:shd w:val="clear" w:color="auto" w:fill="FEFEFE"/>
        </w:rPr>
        <w:t>(maintenance and support of spouses)</w:t>
      </w:r>
    </w:p>
    <w:p w14:paraId="6FED7C67" w14:textId="77777777" w:rsidR="00D55967" w:rsidRPr="008B05B7" w:rsidRDefault="008B05B7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i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i/>
          <w:shd w:val="clear" w:color="auto" w:fill="FEFEFE"/>
        </w:rPr>
        <w:t>Section </w:t>
      </w:r>
      <w:hyperlink r:id="rId8">
        <w:r w:rsidRPr="008B05B7">
          <w:rPr>
            <w:rFonts w:ascii="Times New Roman" w:eastAsia="Times New Roman" w:hAnsi="Times New Roman" w:cs="Times New Roman"/>
            <w:i/>
            <w:color w:val="0000FF"/>
            <w:u w:val="single"/>
            <w:shd w:val="clear" w:color="auto" w:fill="FEFEFE"/>
          </w:rPr>
          <w:t>20-108.1</w:t>
        </w:r>
      </w:hyperlink>
      <w:r w:rsidRPr="008B05B7">
        <w:rPr>
          <w:rFonts w:ascii="Times New Roman" w:eastAsia="Times New Roman" w:hAnsi="Times New Roman" w:cs="Times New Roman"/>
          <w:i/>
          <w:shd w:val="clear" w:color="auto" w:fill="FEFEFE"/>
        </w:rPr>
        <w:t>(determination of child or spousal support)</w:t>
      </w:r>
    </w:p>
    <w:p w14:paraId="04CA7EC5" w14:textId="77777777" w:rsidR="00D55967" w:rsidRPr="008B05B7" w:rsidRDefault="008B05B7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i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i/>
          <w:shd w:val="clear" w:color="auto" w:fill="FEFEFE"/>
        </w:rPr>
        <w:t>Section </w:t>
      </w:r>
      <w:hyperlink r:id="rId9">
        <w:r w:rsidRPr="008B05B7">
          <w:rPr>
            <w:rFonts w:ascii="Times New Roman" w:eastAsia="Times New Roman" w:hAnsi="Times New Roman" w:cs="Times New Roman"/>
            <w:i/>
            <w:color w:val="0000FF"/>
            <w:u w:val="single"/>
            <w:shd w:val="clear" w:color="auto" w:fill="FEFEFE"/>
          </w:rPr>
          <w:t>20-109</w:t>
        </w:r>
      </w:hyperlink>
      <w:r w:rsidRPr="008B05B7">
        <w:rPr>
          <w:rFonts w:ascii="Times New Roman" w:eastAsia="Times New Roman" w:hAnsi="Times New Roman" w:cs="Times New Roman"/>
          <w:i/>
          <w:shd w:val="clear" w:color="auto" w:fill="FEFEFE"/>
        </w:rPr>
        <w:t xml:space="preserve"> (changing maintenance and support for a spouse; cessation on cohabitation, remarriage, </w:t>
      </w:r>
      <w:r w:rsidRPr="008B05B7">
        <w:rPr>
          <w:rFonts w:ascii="Times New Roman" w:eastAsia="Times New Roman" w:hAnsi="Times New Roman" w:cs="Times New Roman"/>
          <w:i/>
          <w:shd w:val="clear" w:color="auto" w:fill="FEFEFE"/>
        </w:rPr>
        <w:t>death)</w:t>
      </w:r>
    </w:p>
    <w:p w14:paraId="676E0F13" w14:textId="77777777" w:rsidR="00D55967" w:rsidRPr="008B05B7" w:rsidRDefault="008B05B7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i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i/>
          <w:shd w:val="clear" w:color="auto" w:fill="FEFEFE"/>
        </w:rPr>
        <w:t>Section </w:t>
      </w:r>
      <w:hyperlink r:id="rId10">
        <w:r w:rsidRPr="008B05B7">
          <w:rPr>
            <w:rFonts w:ascii="Times New Roman" w:eastAsia="Times New Roman" w:hAnsi="Times New Roman" w:cs="Times New Roman"/>
            <w:i/>
            <w:color w:val="0000FF"/>
            <w:u w:val="single"/>
            <w:shd w:val="clear" w:color="auto" w:fill="FEFEFE"/>
          </w:rPr>
          <w:t>20-110</w:t>
        </w:r>
      </w:hyperlink>
      <w:r w:rsidRPr="008B05B7">
        <w:rPr>
          <w:rFonts w:ascii="Times New Roman" w:eastAsia="Times New Roman" w:hAnsi="Times New Roman" w:cs="Times New Roman"/>
          <w:i/>
          <w:shd w:val="clear" w:color="auto" w:fill="FEFEFE"/>
        </w:rPr>
        <w:t> (maintenance and support for a spouse to cease on remarriage)</w:t>
      </w:r>
    </w:p>
    <w:p w14:paraId="04453EFF" w14:textId="77777777" w:rsidR="00D55967" w:rsidRPr="008B05B7" w:rsidRDefault="008B05B7">
      <w:pPr>
        <w:spacing w:before="100" w:after="10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8B05B7">
        <w:rPr>
          <w:rFonts w:ascii="Times New Roman" w:eastAsia="Times New Roman" w:hAnsi="Times New Roman" w:cs="Times New Roman"/>
          <w:shd w:val="clear" w:color="auto" w:fill="FFFFFF"/>
        </w:rPr>
        <w:t>In Virginia, the court allows spousal support to be awarded to a spouse only when it's necessary.</w:t>
      </w:r>
    </w:p>
    <w:p w14:paraId="6F8E701C" w14:textId="77777777" w:rsidR="00D55967" w:rsidRPr="008B05B7" w:rsidRDefault="008B05B7">
      <w:pPr>
        <w:spacing w:before="100" w:after="10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8B05B7">
        <w:rPr>
          <w:rFonts w:ascii="Times New Roman" w:eastAsia="Times New Roman" w:hAnsi="Times New Roman" w:cs="Times New Roman"/>
          <w:shd w:val="clear" w:color="auto" w:fill="FFFFFF"/>
        </w:rPr>
        <w:t>When deciding whether to award support to a spouse, the court considers the factors and circumstances that contributed to the dissolution of the marriage, inc</w:t>
      </w:r>
      <w:r w:rsidRPr="008B05B7">
        <w:rPr>
          <w:rFonts w:ascii="Times New Roman" w:eastAsia="Times New Roman" w:hAnsi="Times New Roman" w:cs="Times New Roman"/>
          <w:shd w:val="clear" w:color="auto" w:fill="FFFFFF"/>
        </w:rPr>
        <w:t xml:space="preserve">luding grounds. </w:t>
      </w:r>
    </w:p>
    <w:p w14:paraId="466FDA35" w14:textId="77777777" w:rsidR="00D55967" w:rsidRPr="008B05B7" w:rsidRDefault="008B05B7">
      <w:pPr>
        <w:spacing w:before="100" w:after="100" w:line="240" w:lineRule="auto"/>
        <w:rPr>
          <w:rFonts w:ascii="Times New Roman" w:eastAsia="Times New Roman" w:hAnsi="Times New Roman" w:cs="Times New Roman"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shd w:val="clear" w:color="auto" w:fill="FEFEFE"/>
        </w:rPr>
        <w:t>The court will determine the nature, amount, and duration of support using factors, including but not limited to the following:</w:t>
      </w:r>
    </w:p>
    <w:p w14:paraId="4C12FCCB" w14:textId="77777777" w:rsidR="00D55967" w:rsidRPr="008B05B7" w:rsidRDefault="008B05B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shd w:val="clear" w:color="auto" w:fill="FEFEFE"/>
        </w:rPr>
        <w:t>The incomes and financial needs of both parties;</w:t>
      </w:r>
    </w:p>
    <w:p w14:paraId="0F78D3E9" w14:textId="77777777" w:rsidR="00D55967" w:rsidRPr="008B05B7" w:rsidRDefault="008B05B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shd w:val="clear" w:color="auto" w:fill="FEFEFE"/>
        </w:rPr>
        <w:t>Age and mental and physical conditions of the parties;</w:t>
      </w:r>
    </w:p>
    <w:p w14:paraId="29665528" w14:textId="77777777" w:rsidR="00D55967" w:rsidRPr="008B05B7" w:rsidRDefault="008B05B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shd w:val="clear" w:color="auto" w:fill="FEFEFE"/>
        </w:rPr>
        <w:t>Standar</w:t>
      </w:r>
      <w:r w:rsidRPr="008B05B7">
        <w:rPr>
          <w:rFonts w:ascii="Times New Roman" w:eastAsia="Times New Roman" w:hAnsi="Times New Roman" w:cs="Times New Roman"/>
          <w:shd w:val="clear" w:color="auto" w:fill="FEFEFE"/>
        </w:rPr>
        <w:t>d of living established during the marriage;</w:t>
      </w:r>
    </w:p>
    <w:p w14:paraId="55DDAC42" w14:textId="77777777" w:rsidR="00D55967" w:rsidRPr="008B05B7" w:rsidRDefault="008B05B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shd w:val="clear" w:color="auto" w:fill="FEFEFE"/>
        </w:rPr>
        <w:t>The duration of the marriage;</w:t>
      </w:r>
    </w:p>
    <w:p w14:paraId="342639D1" w14:textId="77777777" w:rsidR="00D55967" w:rsidRPr="008B05B7" w:rsidRDefault="008B05B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shd w:val="clear" w:color="auto" w:fill="FEFEFE"/>
        </w:rPr>
        <w:t>The contribution of one spouse to the education, training, or increased earning power of the other spouse;</w:t>
      </w:r>
    </w:p>
    <w:p w14:paraId="3984D899" w14:textId="77777777" w:rsidR="00D55967" w:rsidRPr="008B05B7" w:rsidRDefault="008B05B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shd w:val="clear" w:color="auto" w:fill="FEFEFE"/>
        </w:rPr>
        <w:t>Extent to which age, condition of special circumstances of any child of th</w:t>
      </w:r>
      <w:r w:rsidRPr="008B05B7">
        <w:rPr>
          <w:rFonts w:ascii="Times New Roman" w:eastAsia="Times New Roman" w:hAnsi="Times New Roman" w:cs="Times New Roman"/>
          <w:shd w:val="clear" w:color="auto" w:fill="FEFEFE"/>
        </w:rPr>
        <w:t>e spouses would make it appropriate for one spouse to stay home; and</w:t>
      </w:r>
    </w:p>
    <w:p w14:paraId="38763EF9" w14:textId="77777777" w:rsidR="00D55967" w:rsidRPr="008B05B7" w:rsidRDefault="008B05B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hd w:val="clear" w:color="auto" w:fill="FEFEFE"/>
        </w:rPr>
      </w:pPr>
      <w:r w:rsidRPr="008B05B7">
        <w:rPr>
          <w:rFonts w:ascii="Times New Roman" w:eastAsia="Times New Roman" w:hAnsi="Times New Roman" w:cs="Times New Roman"/>
          <w:shd w:val="clear" w:color="auto" w:fill="FEFEFE"/>
        </w:rPr>
        <w:t>Property interests of the parties.</w:t>
      </w:r>
    </w:p>
    <w:p w14:paraId="2B5AA4AF" w14:textId="77777777" w:rsidR="00D55967" w:rsidRPr="008B05B7" w:rsidRDefault="008B05B7">
      <w:pPr>
        <w:spacing w:before="100" w:after="10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8B05B7">
        <w:rPr>
          <w:rFonts w:ascii="Times New Roman" w:eastAsia="Times New Roman" w:hAnsi="Times New Roman" w:cs="Times New Roman"/>
          <w:shd w:val="clear" w:color="auto" w:fill="FFFFFF"/>
        </w:rPr>
        <w:t>Alimony can be paid either as a lump sum payment or as periodic payments.</w:t>
      </w:r>
    </w:p>
    <w:p w14:paraId="4F6C9953" w14:textId="77777777" w:rsidR="00D55967" w:rsidRPr="008B05B7" w:rsidRDefault="008B05B7">
      <w:pPr>
        <w:spacing w:before="100" w:after="10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8B05B7">
        <w:rPr>
          <w:rFonts w:ascii="Times New Roman" w:eastAsia="Times New Roman" w:hAnsi="Times New Roman" w:cs="Times New Roman"/>
          <w:shd w:val="clear" w:color="auto" w:fill="FFFFFF"/>
        </w:rPr>
        <w:t>Payments can be set for a specific number of years of for an unspecified durat</w:t>
      </w:r>
      <w:r w:rsidRPr="008B05B7">
        <w:rPr>
          <w:rFonts w:ascii="Times New Roman" w:eastAsia="Times New Roman" w:hAnsi="Times New Roman" w:cs="Times New Roman"/>
          <w:shd w:val="clear" w:color="auto" w:fill="FFFFFF"/>
        </w:rPr>
        <w:t>ion. The support ends automatically upon death of either spouse or if the spouse receiving support remarries or cohabitates in a marriage-like manner.</w:t>
      </w:r>
    </w:p>
    <w:p w14:paraId="1442F77F" w14:textId="77777777" w:rsidR="00D55967" w:rsidRPr="008B05B7" w:rsidRDefault="008B05B7">
      <w:pPr>
        <w:spacing w:before="100" w:after="10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8B05B7">
        <w:rPr>
          <w:rFonts w:ascii="Times New Roman" w:eastAsia="Times New Roman" w:hAnsi="Times New Roman" w:cs="Times New Roman"/>
          <w:shd w:val="clear" w:color="auto" w:fill="FFFFFF"/>
        </w:rPr>
        <w:t xml:space="preserve">Either party can petition to modify the maintenance and support to increase, decrease, or terminate when </w:t>
      </w:r>
      <w:r w:rsidRPr="008B05B7">
        <w:rPr>
          <w:rFonts w:ascii="Times New Roman" w:eastAsia="Times New Roman" w:hAnsi="Times New Roman" w:cs="Times New Roman"/>
          <w:shd w:val="clear" w:color="auto" w:fill="FFFFFF"/>
        </w:rPr>
        <w:t>there's a change in circumstances.</w:t>
      </w:r>
    </w:p>
    <w:p w14:paraId="681D7DA7" w14:textId="77777777" w:rsidR="00D55967" w:rsidRPr="008B05B7" w:rsidRDefault="008B05B7">
      <w:pPr>
        <w:spacing w:after="0" w:line="240" w:lineRule="auto"/>
        <w:rPr>
          <w:rFonts w:ascii="Times New Roman" w:eastAsia="Times New Roman" w:hAnsi="Times New Roman" w:cs="Times New Roman"/>
          <w:b/>
          <w:shd w:val="clear" w:color="auto" w:fill="F9F9F9"/>
        </w:rPr>
      </w:pPr>
      <w:r w:rsidRPr="008B05B7">
        <w:rPr>
          <w:rFonts w:ascii="Times New Roman" w:eastAsia="Times New Roman" w:hAnsi="Times New Roman" w:cs="Times New Roman"/>
          <w:b/>
          <w:shd w:val="clear" w:color="auto" w:fill="F9F9F9"/>
        </w:rPr>
        <w:t>Spousal Support during the period between Separation and Divorce.</w:t>
      </w:r>
    </w:p>
    <w:p w14:paraId="4E6A6A8D" w14:textId="77777777" w:rsidR="00D55967" w:rsidRPr="008B05B7" w:rsidRDefault="008B05B7">
      <w:pPr>
        <w:spacing w:after="0" w:line="240" w:lineRule="auto"/>
        <w:rPr>
          <w:rFonts w:ascii="Times New Roman" w:eastAsia="Times New Roman" w:hAnsi="Times New Roman" w:cs="Times New Roman"/>
          <w:shd w:val="clear" w:color="auto" w:fill="F9F9F9"/>
        </w:rPr>
      </w:pPr>
      <w:r w:rsidRPr="008B05B7">
        <w:rPr>
          <w:rFonts w:ascii="Times New Roman" w:eastAsia="Times New Roman" w:hAnsi="Times New Roman" w:cs="Times New Roman"/>
          <w:shd w:val="clear" w:color="auto" w:fill="F9F9F9"/>
        </w:rPr>
        <w:t>“</w:t>
      </w:r>
      <w:r w:rsidRPr="008B05B7">
        <w:rPr>
          <w:rFonts w:ascii="Times New Roman" w:eastAsia="Times New Roman" w:hAnsi="Times New Roman" w:cs="Times New Roman"/>
          <w:i/>
          <w:shd w:val="clear" w:color="auto" w:fill="F9F9F9"/>
        </w:rPr>
        <w:t>Pendente Lite</w:t>
      </w:r>
      <w:r w:rsidRPr="008B05B7">
        <w:rPr>
          <w:rFonts w:ascii="Times New Roman" w:eastAsia="Times New Roman" w:hAnsi="Times New Roman" w:cs="Times New Roman"/>
          <w:shd w:val="clear" w:color="auto" w:fill="F9F9F9"/>
        </w:rPr>
        <w:t>” spousal support is calculated pursuant to Section 16.1-278.17:1. “</w:t>
      </w:r>
      <w:r w:rsidRPr="008B05B7">
        <w:rPr>
          <w:rFonts w:ascii="Times New Roman" w:eastAsia="Times New Roman" w:hAnsi="Times New Roman" w:cs="Times New Roman"/>
          <w:i/>
          <w:shd w:val="clear" w:color="auto" w:fill="F9F9F9"/>
        </w:rPr>
        <w:t>Pendente Lite</w:t>
      </w:r>
      <w:r w:rsidRPr="008B05B7">
        <w:rPr>
          <w:rFonts w:ascii="Times New Roman" w:eastAsia="Times New Roman" w:hAnsi="Times New Roman" w:cs="Times New Roman"/>
          <w:shd w:val="clear" w:color="auto" w:fill="F9F9F9"/>
        </w:rPr>
        <w:t>” means “pending the litigation.” It is intended to provide an amount of support until a court has the opportunity to have a full trial on whether spousal support will be awarded at all (Section 20-107.</w:t>
      </w:r>
      <w:proofErr w:type="gramStart"/>
      <w:r w:rsidRPr="008B05B7">
        <w:rPr>
          <w:rFonts w:ascii="Times New Roman" w:eastAsia="Times New Roman" w:hAnsi="Times New Roman" w:cs="Times New Roman"/>
          <w:shd w:val="clear" w:color="auto" w:fill="F9F9F9"/>
        </w:rPr>
        <w:t>1.B</w:t>
      </w:r>
      <w:proofErr w:type="gramEnd"/>
      <w:r w:rsidRPr="008B05B7">
        <w:rPr>
          <w:rFonts w:ascii="Times New Roman" w:eastAsia="Times New Roman" w:hAnsi="Times New Roman" w:cs="Times New Roman"/>
          <w:shd w:val="clear" w:color="auto" w:fill="F9F9F9"/>
        </w:rPr>
        <w:t>) and, if so, the amount of spousal support (applyi</w:t>
      </w:r>
      <w:r w:rsidRPr="008B05B7">
        <w:rPr>
          <w:rFonts w:ascii="Times New Roman" w:eastAsia="Times New Roman" w:hAnsi="Times New Roman" w:cs="Times New Roman"/>
          <w:shd w:val="clear" w:color="auto" w:fill="F9F9F9"/>
        </w:rPr>
        <w:t>ng the factors spelled out in Section 20-107.1.E). It is NOT intended to calculate the amount of spousal support that might be paid on an ongoing basis after a final divorce.</w:t>
      </w:r>
    </w:p>
    <w:p w14:paraId="55808EFD" w14:textId="77777777" w:rsidR="008B05B7" w:rsidRPr="008B05B7" w:rsidRDefault="008B05B7" w:rsidP="008B05B7">
      <w:pPr>
        <w:pStyle w:val="NoSpacing"/>
        <w:rPr>
          <w:rFonts w:ascii="Times New Roman" w:eastAsia="Times New Roman" w:hAnsi="Times New Roman" w:cs="Times New Roman"/>
        </w:rPr>
      </w:pPr>
    </w:p>
    <w:p w14:paraId="38D7A7BA" w14:textId="42BFDCA5" w:rsidR="00D55967" w:rsidRPr="008B05B7" w:rsidRDefault="008B05B7">
      <w:pPr>
        <w:spacing w:after="100" w:line="390" w:lineRule="auto"/>
        <w:rPr>
          <w:rFonts w:ascii="Times New Roman" w:eastAsia="Times New Roman" w:hAnsi="Times New Roman" w:cs="Times New Roman"/>
          <w:b/>
        </w:rPr>
      </w:pPr>
      <w:r w:rsidRPr="008B05B7">
        <w:rPr>
          <w:rFonts w:ascii="Times New Roman" w:eastAsia="Times New Roman" w:hAnsi="Times New Roman" w:cs="Times New Roman"/>
          <w:b/>
        </w:rPr>
        <w:t xml:space="preserve">Information needed to calculate Spousal Support </w:t>
      </w:r>
      <w:r w:rsidRPr="008B05B7">
        <w:rPr>
          <w:rFonts w:ascii="Times New Roman" w:eastAsia="Times New Roman" w:hAnsi="Times New Roman" w:cs="Times New Roman"/>
          <w:b/>
          <w:i/>
        </w:rPr>
        <w:t>(“Pendente Lite”)</w:t>
      </w:r>
      <w:r w:rsidRPr="008B05B7">
        <w:rPr>
          <w:rFonts w:ascii="Times New Roman" w:eastAsia="Times New Roman" w:hAnsi="Times New Roman" w:cs="Times New Roman"/>
          <w:b/>
        </w:rPr>
        <w:t>:</w:t>
      </w:r>
    </w:p>
    <w:p w14:paraId="444A648F" w14:textId="77777777" w:rsidR="00D55967" w:rsidRPr="008B05B7" w:rsidRDefault="008B05B7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Calibri" w:hAnsi="Times New Roman" w:cs="Times New Roman"/>
        </w:rPr>
      </w:pPr>
      <w:r w:rsidRPr="008B05B7">
        <w:rPr>
          <w:rFonts w:ascii="Times New Roman" w:eastAsia="Calibri" w:hAnsi="Times New Roman" w:cs="Times New Roman"/>
        </w:rPr>
        <w:t xml:space="preserve">Gross Income </w:t>
      </w:r>
      <w:r w:rsidRPr="008B05B7">
        <w:rPr>
          <w:rFonts w:ascii="Times New Roman" w:eastAsia="Calibri" w:hAnsi="Times New Roman" w:cs="Times New Roman"/>
        </w:rPr>
        <w:t xml:space="preserve">of each party, monthly and yearly, including bonuses, overtime, etc. </w:t>
      </w:r>
    </w:p>
    <w:p w14:paraId="7500A18E" w14:textId="77777777" w:rsidR="00D55967" w:rsidRPr="008B05B7" w:rsidRDefault="008B05B7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Calibri" w:hAnsi="Times New Roman" w:cs="Times New Roman"/>
        </w:rPr>
      </w:pPr>
      <w:r w:rsidRPr="008B05B7">
        <w:rPr>
          <w:rFonts w:ascii="Times New Roman" w:eastAsia="Calibri" w:hAnsi="Times New Roman" w:cs="Times New Roman"/>
        </w:rPr>
        <w:t>Are there any minor children from the marriage of these parties?</w:t>
      </w:r>
    </w:p>
    <w:p w14:paraId="3442BC19" w14:textId="77777777" w:rsidR="00D55967" w:rsidRPr="008B05B7" w:rsidRDefault="008B05B7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Calibri" w:hAnsi="Times New Roman" w:cs="Times New Roman"/>
        </w:rPr>
      </w:pPr>
      <w:r w:rsidRPr="008B05B7">
        <w:rPr>
          <w:rFonts w:ascii="Times New Roman" w:eastAsia="Calibri" w:hAnsi="Times New Roman" w:cs="Times New Roman"/>
        </w:rPr>
        <w:t>Are there any OTHER Natural/Adopted Children Residing with any of these parties?</w:t>
      </w:r>
    </w:p>
    <w:p w14:paraId="7F36DA21" w14:textId="77777777" w:rsidR="00D55967" w:rsidRPr="008B05B7" w:rsidRDefault="008B05B7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Calibri" w:hAnsi="Times New Roman" w:cs="Times New Roman"/>
        </w:rPr>
      </w:pPr>
      <w:r w:rsidRPr="008B05B7">
        <w:rPr>
          <w:rFonts w:ascii="Times New Roman" w:eastAsia="Calibri" w:hAnsi="Times New Roman" w:cs="Times New Roman"/>
        </w:rPr>
        <w:t>Child Support paid by Spouse for childre</w:t>
      </w:r>
      <w:r w:rsidRPr="008B05B7">
        <w:rPr>
          <w:rFonts w:ascii="Times New Roman" w:eastAsia="Calibri" w:hAnsi="Times New Roman" w:cs="Times New Roman"/>
        </w:rPr>
        <w:t>n by DIFFERENT order?</w:t>
      </w:r>
    </w:p>
    <w:p w14:paraId="765B1607" w14:textId="77777777" w:rsidR="00D55967" w:rsidRPr="008B05B7" w:rsidRDefault="008B05B7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Calibri" w:hAnsi="Times New Roman" w:cs="Times New Roman"/>
        </w:rPr>
      </w:pPr>
      <w:r w:rsidRPr="008B05B7">
        <w:rPr>
          <w:rFonts w:ascii="Times New Roman" w:eastAsia="Calibri" w:hAnsi="Times New Roman" w:cs="Times New Roman"/>
        </w:rPr>
        <w:t>Any other Spousal Support being paid?</w:t>
      </w:r>
    </w:p>
    <w:p w14:paraId="1F68F611" w14:textId="77777777" w:rsidR="00D55967" w:rsidRPr="008B05B7" w:rsidRDefault="008B05B7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Calibri" w:hAnsi="Times New Roman" w:cs="Times New Roman"/>
        </w:rPr>
      </w:pPr>
      <w:r w:rsidRPr="008B05B7">
        <w:rPr>
          <w:rFonts w:ascii="Times New Roman" w:eastAsia="Calibri" w:hAnsi="Times New Roman" w:cs="Times New Roman"/>
        </w:rPr>
        <w:t>Deductions from Monthly Gross Income allowed by Law?</w:t>
      </w:r>
    </w:p>
    <w:p w14:paraId="18B4B6D5" w14:textId="77777777" w:rsidR="00D55967" w:rsidRDefault="00D55967">
      <w:pPr>
        <w:spacing w:after="100" w:line="390" w:lineRule="auto"/>
        <w:rPr>
          <w:rFonts w:ascii="Times New Roman" w:eastAsia="Times New Roman" w:hAnsi="Times New Roman" w:cs="Times New Roman"/>
          <w:sz w:val="27"/>
        </w:rPr>
      </w:pPr>
    </w:p>
    <w:p w14:paraId="67D6B5E2" w14:textId="77777777" w:rsidR="00D55967" w:rsidRDefault="00D55967">
      <w:pPr>
        <w:spacing w:after="100" w:line="390" w:lineRule="auto"/>
        <w:rPr>
          <w:rFonts w:ascii="Times New Roman" w:eastAsia="Times New Roman" w:hAnsi="Times New Roman" w:cs="Times New Roman"/>
          <w:sz w:val="27"/>
        </w:rPr>
      </w:pPr>
    </w:p>
    <w:p w14:paraId="330C9B42" w14:textId="77777777" w:rsidR="00D55967" w:rsidRDefault="00D55967">
      <w:pPr>
        <w:spacing w:after="100" w:line="390" w:lineRule="auto"/>
        <w:rPr>
          <w:rFonts w:ascii="Times New Roman" w:eastAsia="Times New Roman" w:hAnsi="Times New Roman" w:cs="Times New Roman"/>
          <w:sz w:val="27"/>
        </w:rPr>
      </w:pPr>
    </w:p>
    <w:p w14:paraId="05AD0BFF" w14:textId="77777777" w:rsidR="00D55967" w:rsidRDefault="00D55967">
      <w:pPr>
        <w:spacing w:after="100" w:line="390" w:lineRule="auto"/>
        <w:rPr>
          <w:rFonts w:ascii="Times New Roman" w:eastAsia="Times New Roman" w:hAnsi="Times New Roman" w:cs="Times New Roman"/>
          <w:sz w:val="27"/>
        </w:rPr>
      </w:pPr>
    </w:p>
    <w:p w14:paraId="5AB1E105" w14:textId="77777777" w:rsidR="00D55967" w:rsidRDefault="00D55967">
      <w:pPr>
        <w:spacing w:before="100" w:after="100" w:line="240" w:lineRule="auto"/>
        <w:rPr>
          <w:rFonts w:ascii="Helvetica" w:eastAsia="Helvetica" w:hAnsi="Helvetica" w:cs="Helvetica"/>
          <w:color w:val="666666"/>
          <w:sz w:val="24"/>
          <w:shd w:val="clear" w:color="auto" w:fill="FFFFFF"/>
        </w:rPr>
      </w:pPr>
    </w:p>
    <w:p w14:paraId="75125D2C" w14:textId="77777777" w:rsidR="00D55967" w:rsidRDefault="00D55967">
      <w:pPr>
        <w:spacing w:before="100" w:after="100" w:line="240" w:lineRule="auto"/>
        <w:rPr>
          <w:rFonts w:ascii="Helvetica" w:eastAsia="Helvetica" w:hAnsi="Helvetica" w:cs="Helvetica"/>
          <w:color w:val="666666"/>
          <w:sz w:val="24"/>
          <w:shd w:val="clear" w:color="auto" w:fill="FFFFFF"/>
        </w:rPr>
      </w:pPr>
    </w:p>
    <w:p w14:paraId="5C8D5173" w14:textId="77777777" w:rsidR="00D55967" w:rsidRDefault="00D55967">
      <w:pPr>
        <w:spacing w:after="100" w:line="390" w:lineRule="auto"/>
        <w:rPr>
          <w:rFonts w:ascii="Times New Roman" w:eastAsia="Times New Roman" w:hAnsi="Times New Roman" w:cs="Times New Roman"/>
          <w:sz w:val="27"/>
        </w:rPr>
      </w:pPr>
    </w:p>
    <w:p w14:paraId="347A9B58" w14:textId="77777777" w:rsidR="00D55967" w:rsidRDefault="00D55967">
      <w:pPr>
        <w:spacing w:after="100" w:line="390" w:lineRule="auto"/>
        <w:rPr>
          <w:rFonts w:ascii="Times New Roman" w:eastAsia="Times New Roman" w:hAnsi="Times New Roman" w:cs="Times New Roman"/>
          <w:sz w:val="27"/>
        </w:rPr>
      </w:pPr>
    </w:p>
    <w:sectPr w:rsidR="00D55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1E5B5D"/>
    <w:multiLevelType w:val="multilevel"/>
    <w:tmpl w:val="B0DA1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6A7810"/>
    <w:multiLevelType w:val="multilevel"/>
    <w:tmpl w:val="B54EDE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E4449A"/>
    <w:multiLevelType w:val="multilevel"/>
    <w:tmpl w:val="056652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967"/>
    <w:rsid w:val="008B05B7"/>
    <w:rsid w:val="00D5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69B99"/>
  <w15:docId w15:val="{F7B71118-2459-407A-BE4D-070B7FA5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05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des.findlaw.com/va/title-20-domestic-relations/va-code-sect-20-108-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odes.findlaw.com/va/title-20-domestic-relations/va-code-sect-20-107-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codes.findlaw.com/va/title-20-domestic-relations/va-code-sect-20-1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des.findlaw.com/va/title-20-domestic-relations/va-code-sect-20-10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Chesneau</dc:creator>
  <cp:lastModifiedBy>Eva Chesneau</cp:lastModifiedBy>
  <cp:revision>2</cp:revision>
  <dcterms:created xsi:type="dcterms:W3CDTF">2020-07-22T16:00:00Z</dcterms:created>
  <dcterms:modified xsi:type="dcterms:W3CDTF">2020-07-22T16:00:00Z</dcterms:modified>
</cp:coreProperties>
</file>